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629B0" w14:textId="673BA368" w:rsidR="00701877" w:rsidRPr="00701877" w:rsidRDefault="00701877" w:rsidP="00701877">
      <w:pPr>
        <w:jc w:val="center"/>
        <w:rPr>
          <w:rFonts w:ascii="Arial" w:hAnsi="Arial" w:cs="Arial"/>
          <w:b/>
          <w:bCs/>
        </w:rPr>
      </w:pPr>
      <w:r w:rsidRPr="00701877">
        <w:rPr>
          <w:rFonts w:ascii="Arial" w:hAnsi="Arial" w:cs="Arial"/>
          <w:b/>
          <w:bCs/>
        </w:rPr>
        <w:t>PROMUEVE ANA PATY PERALTA PREVENCIÓN DEL CÁNCER DE PRÓSTATA</w:t>
      </w:r>
    </w:p>
    <w:p w14:paraId="07DA0CCC" w14:textId="77777777" w:rsidR="00701877" w:rsidRPr="00701877" w:rsidRDefault="00701877" w:rsidP="00701877">
      <w:pPr>
        <w:jc w:val="both"/>
        <w:rPr>
          <w:rFonts w:ascii="Arial" w:hAnsi="Arial" w:cs="Arial"/>
        </w:rPr>
      </w:pPr>
    </w:p>
    <w:p w14:paraId="5329A901" w14:textId="77777777" w:rsidR="00701877" w:rsidRPr="00701877" w:rsidRDefault="00701877" w:rsidP="00701877">
      <w:pPr>
        <w:jc w:val="both"/>
        <w:rPr>
          <w:rFonts w:ascii="Arial" w:hAnsi="Arial" w:cs="Arial"/>
        </w:rPr>
      </w:pPr>
      <w:r w:rsidRPr="00701877">
        <w:rPr>
          <w:rFonts w:ascii="Arial" w:hAnsi="Arial" w:cs="Arial"/>
          <w:b/>
          <w:bCs/>
        </w:rPr>
        <w:t>Cancún, Q. R., a 04 de noviembre de 2024.-</w:t>
      </w:r>
      <w:r w:rsidRPr="00701877">
        <w:rPr>
          <w:rFonts w:ascii="Arial" w:hAnsi="Arial" w:cs="Arial"/>
        </w:rPr>
        <w:t xml:space="preserve"> En el marco de "Noviembre: Mes de la salud del hombre", la </w:t>
      </w:r>
      <w:proofErr w:type="gramStart"/>
      <w:r w:rsidRPr="00701877">
        <w:rPr>
          <w:rFonts w:ascii="Arial" w:hAnsi="Arial" w:cs="Arial"/>
        </w:rPr>
        <w:t>Presidenta</w:t>
      </w:r>
      <w:proofErr w:type="gramEnd"/>
      <w:r w:rsidRPr="00701877">
        <w:rPr>
          <w:rFonts w:ascii="Arial" w:hAnsi="Arial" w:cs="Arial"/>
        </w:rPr>
        <w:t>, Ana Paty Peralta, participó en la Feria de la Salud realizada en la explanada de la Secretaría Municipal de Seguridad Ciudadana y Tránsito, y encabezada por la gobernadora Mara Lezama, con el objetivo de concientizar a los hombres sobre la prevención del cáncer de próstata y otras enfermedades no transmisibles.</w:t>
      </w:r>
    </w:p>
    <w:p w14:paraId="00455C5D" w14:textId="77777777" w:rsidR="00701877" w:rsidRPr="00701877" w:rsidRDefault="00701877" w:rsidP="00701877">
      <w:pPr>
        <w:jc w:val="both"/>
        <w:rPr>
          <w:rFonts w:ascii="Arial" w:hAnsi="Arial" w:cs="Arial"/>
        </w:rPr>
      </w:pPr>
    </w:p>
    <w:p w14:paraId="7FF51CD2" w14:textId="77777777" w:rsidR="00701877" w:rsidRPr="00701877" w:rsidRDefault="00701877" w:rsidP="00701877">
      <w:pPr>
        <w:jc w:val="both"/>
        <w:rPr>
          <w:rFonts w:ascii="Arial" w:hAnsi="Arial" w:cs="Arial"/>
        </w:rPr>
      </w:pPr>
      <w:r w:rsidRPr="00701877">
        <w:rPr>
          <w:rFonts w:ascii="Arial" w:hAnsi="Arial" w:cs="Arial"/>
        </w:rPr>
        <w:t xml:space="preserve">Durante el recorrido, la </w:t>
      </w:r>
      <w:proofErr w:type="gramStart"/>
      <w:r w:rsidRPr="00701877">
        <w:rPr>
          <w:rFonts w:ascii="Arial" w:hAnsi="Arial" w:cs="Arial"/>
        </w:rPr>
        <w:t>Alcaldesa</w:t>
      </w:r>
      <w:proofErr w:type="gramEnd"/>
      <w:r w:rsidRPr="00701877">
        <w:rPr>
          <w:rFonts w:ascii="Arial" w:hAnsi="Arial" w:cs="Arial"/>
        </w:rPr>
        <w:t xml:space="preserve"> destacó que con estas acciones se refrenda el compromiso de un gobierno humanista con corazón feminista, mismo que vela por la salud de los hombres, quienes son exhortados a realizarse las diferentes pruebas para la detección oportuna del cáncer de próstata, el cual es curable si se detecta a tiempo. </w:t>
      </w:r>
    </w:p>
    <w:p w14:paraId="795F979A" w14:textId="77777777" w:rsidR="00701877" w:rsidRPr="00701877" w:rsidRDefault="00701877" w:rsidP="00701877">
      <w:pPr>
        <w:jc w:val="both"/>
        <w:rPr>
          <w:rFonts w:ascii="Arial" w:hAnsi="Arial" w:cs="Arial"/>
        </w:rPr>
      </w:pPr>
    </w:p>
    <w:p w14:paraId="6347EC26" w14:textId="77777777" w:rsidR="00701877" w:rsidRPr="00701877" w:rsidRDefault="00701877" w:rsidP="00701877">
      <w:pPr>
        <w:jc w:val="both"/>
        <w:rPr>
          <w:rFonts w:ascii="Arial" w:hAnsi="Arial" w:cs="Arial"/>
        </w:rPr>
      </w:pPr>
      <w:r w:rsidRPr="00701877">
        <w:rPr>
          <w:rFonts w:ascii="Arial" w:hAnsi="Arial" w:cs="Arial"/>
        </w:rPr>
        <w:t>Mientras tanto, la gobernadora Mara Lezama, hizo énfasis que el gobierno de Quintana Roo, está comprometido a brindar acceso a la información y recursos sobre la salud del hombre, con el objetivo de crear una cultura de prevención y cuidado, ya que la salud no solo es un acto de amor propio, sino también, una forma de cuidar a quienes los rodean, siendo necesario actuar hoy para un futuro más saludable.</w:t>
      </w:r>
    </w:p>
    <w:p w14:paraId="593B5BB9" w14:textId="77777777" w:rsidR="00701877" w:rsidRPr="00701877" w:rsidRDefault="00701877" w:rsidP="00701877">
      <w:pPr>
        <w:jc w:val="both"/>
        <w:rPr>
          <w:rFonts w:ascii="Arial" w:hAnsi="Arial" w:cs="Arial"/>
        </w:rPr>
      </w:pPr>
    </w:p>
    <w:p w14:paraId="553AB3F4" w14:textId="77777777" w:rsidR="00701877" w:rsidRPr="00701877" w:rsidRDefault="00701877" w:rsidP="00701877">
      <w:pPr>
        <w:jc w:val="both"/>
        <w:rPr>
          <w:rFonts w:ascii="Arial" w:hAnsi="Arial" w:cs="Arial"/>
        </w:rPr>
      </w:pPr>
      <w:r w:rsidRPr="00701877">
        <w:rPr>
          <w:rFonts w:ascii="Arial" w:hAnsi="Arial" w:cs="Arial"/>
        </w:rPr>
        <w:t>Esta feria de la salud promueve que los hombres se realicen la prueba rápida del VIH, Sífilis y C de tercera generación; detección de depresión; orientación y psicoeducación en prevención del suicidio; para que en caso de detección temprana al recibir un diagnóstico confirmatorio puedan acceder rápido al tratamiento correspondiente.</w:t>
      </w:r>
    </w:p>
    <w:p w14:paraId="4816791F" w14:textId="77777777" w:rsidR="00701877" w:rsidRPr="00701877" w:rsidRDefault="00701877" w:rsidP="00701877">
      <w:pPr>
        <w:jc w:val="both"/>
        <w:rPr>
          <w:rFonts w:ascii="Arial" w:hAnsi="Arial" w:cs="Arial"/>
        </w:rPr>
      </w:pPr>
    </w:p>
    <w:p w14:paraId="2131802B" w14:textId="63A7BA60" w:rsidR="00701877" w:rsidRPr="00701877" w:rsidRDefault="00701877" w:rsidP="00701877">
      <w:pPr>
        <w:jc w:val="both"/>
        <w:rPr>
          <w:rFonts w:ascii="Arial" w:hAnsi="Arial" w:cs="Arial"/>
        </w:rPr>
      </w:pPr>
      <w:r w:rsidRPr="00701877">
        <w:rPr>
          <w:rFonts w:ascii="Arial" w:hAnsi="Arial" w:cs="Arial"/>
        </w:rPr>
        <w:t>De acuerdo con los Servicios Estatales de Salud (SESA), durante el mes de noviembre se aplicarán 5 mil escalas IPSS (índice internacional de síntomas prostáticos) y 500 pruebas rápidas de antígeno prostático, en las tres caravanas de salud que circulan por todo Quintana Roo. Además, la toma de presión arterial, peso, talla, cálculo del índice de masa corporal (IMC), orientación nutricional, análisis de glucosa capilar, detección de factor de riesgos vasculares, aplicación de herramientas de tamizaje de riesgo de cáncer de próstata.</w:t>
      </w:r>
    </w:p>
    <w:p w14:paraId="030EA64D" w14:textId="77777777" w:rsidR="00701877" w:rsidRPr="00701877" w:rsidRDefault="00701877" w:rsidP="00701877">
      <w:pPr>
        <w:jc w:val="both"/>
        <w:rPr>
          <w:rFonts w:ascii="Arial" w:hAnsi="Arial" w:cs="Arial"/>
        </w:rPr>
      </w:pPr>
    </w:p>
    <w:p w14:paraId="77B927D7" w14:textId="3D7F9C9B" w:rsidR="00FE7BCF" w:rsidRPr="00701877" w:rsidRDefault="00701877" w:rsidP="00701877">
      <w:pPr>
        <w:jc w:val="center"/>
        <w:rPr>
          <w:rFonts w:ascii="Arial" w:hAnsi="Arial" w:cs="Arial"/>
        </w:rPr>
      </w:pPr>
      <w:r w:rsidRPr="00701877">
        <w:rPr>
          <w:rFonts w:ascii="Arial" w:hAnsi="Arial" w:cs="Arial"/>
        </w:rPr>
        <w:t>****</w:t>
      </w:r>
      <w:r>
        <w:rPr>
          <w:rFonts w:ascii="Arial" w:hAnsi="Arial" w:cs="Arial"/>
        </w:rPr>
        <w:t>********</w:t>
      </w:r>
    </w:p>
    <w:sectPr w:rsidR="00FE7BCF" w:rsidRPr="0070187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F3D96" w14:textId="77777777" w:rsidR="00BA25A7" w:rsidRDefault="00BA25A7" w:rsidP="0092028B">
      <w:r>
        <w:separator/>
      </w:r>
    </w:p>
  </w:endnote>
  <w:endnote w:type="continuationSeparator" w:id="0">
    <w:p w14:paraId="68131485" w14:textId="77777777" w:rsidR="00BA25A7" w:rsidRDefault="00BA25A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2CBC4" w14:textId="77777777" w:rsidR="00BA25A7" w:rsidRDefault="00BA25A7" w:rsidP="0092028B">
      <w:r>
        <w:separator/>
      </w:r>
    </w:p>
  </w:footnote>
  <w:footnote w:type="continuationSeparator" w:id="0">
    <w:p w14:paraId="297C2D28" w14:textId="77777777" w:rsidR="00BA25A7" w:rsidRDefault="00BA25A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FA5E40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01877">
                            <w:rPr>
                              <w:rFonts w:cstheme="minorHAnsi"/>
                              <w:b/>
                              <w:bCs/>
                              <w:lang w:val="es-ES"/>
                            </w:rPr>
                            <w:t>124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FA5E40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01877">
                      <w:rPr>
                        <w:rFonts w:cstheme="minorHAnsi"/>
                        <w:b/>
                        <w:bCs/>
                        <w:lang w:val="es-ES"/>
                      </w:rPr>
                      <w:t>124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954218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269A"/>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12FA6"/>
    <w:rsid w:val="003269D1"/>
    <w:rsid w:val="00326AE6"/>
    <w:rsid w:val="003319CB"/>
    <w:rsid w:val="003425A3"/>
    <w:rsid w:val="003425F7"/>
    <w:rsid w:val="003A44F8"/>
    <w:rsid w:val="003C3200"/>
    <w:rsid w:val="003C3C3E"/>
    <w:rsid w:val="003E64E6"/>
    <w:rsid w:val="003F6CFA"/>
    <w:rsid w:val="00403535"/>
    <w:rsid w:val="00431DD0"/>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3FAB"/>
    <w:rsid w:val="0067627D"/>
    <w:rsid w:val="00677EBC"/>
    <w:rsid w:val="006960A5"/>
    <w:rsid w:val="006A1CAC"/>
    <w:rsid w:val="006A7277"/>
    <w:rsid w:val="006F0C0F"/>
    <w:rsid w:val="006F54F3"/>
    <w:rsid w:val="00701877"/>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25A7"/>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317</Words>
  <Characters>1807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2024-11-04T23:56:00Z</dcterms:created>
  <dcterms:modified xsi:type="dcterms:W3CDTF">2024-11-05T00:01:00Z</dcterms:modified>
</cp:coreProperties>
</file>